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9F1CBB" w:rsidTr="00093CCA">
        <w:trPr>
          <w:trHeight w:hRule="exact" w:val="255"/>
        </w:trPr>
        <w:tc>
          <w:tcPr>
            <w:tcW w:w="3258" w:type="dxa"/>
            <w:shd w:val="clear" w:color="auto" w:fill="F2F2F2" w:themeFill="background1" w:themeFillShade="F2"/>
          </w:tcPr>
          <w:p w:rsidR="00145BDA" w:rsidRPr="009F1CBB" w:rsidRDefault="00145BDA" w:rsidP="00D3516A">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Birim</w:t>
            </w:r>
          </w:p>
        </w:tc>
        <w:tc>
          <w:tcPr>
            <w:tcW w:w="6945" w:type="dxa"/>
          </w:tcPr>
          <w:p w:rsidR="00145BDA" w:rsidRPr="009F1CBB" w:rsidRDefault="00145BDA" w:rsidP="002738BA">
            <w:pPr>
              <w:tabs>
                <w:tab w:val="left" w:pos="2400"/>
              </w:tabs>
              <w:rPr>
                <w:rFonts w:ascii="Cambria" w:hAnsi="Cambria" w:cs="Times New Roman"/>
                <w:sz w:val="20"/>
                <w:szCs w:val="20"/>
              </w:rPr>
            </w:pPr>
          </w:p>
        </w:tc>
      </w:tr>
      <w:tr w:rsidR="00145BDA" w:rsidRPr="009F1CBB" w:rsidTr="00093CCA">
        <w:trPr>
          <w:trHeight w:hRule="exact" w:val="255"/>
        </w:trPr>
        <w:tc>
          <w:tcPr>
            <w:tcW w:w="3258" w:type="dxa"/>
            <w:shd w:val="clear" w:color="auto" w:fill="F2F2F2" w:themeFill="background1" w:themeFillShade="F2"/>
          </w:tcPr>
          <w:p w:rsidR="00145BDA" w:rsidRPr="009F1CBB" w:rsidRDefault="00145BD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 Unvanı</w:t>
            </w:r>
          </w:p>
        </w:tc>
        <w:tc>
          <w:tcPr>
            <w:tcW w:w="6945" w:type="dxa"/>
          </w:tcPr>
          <w:p w:rsidR="00145BDA" w:rsidRPr="009F1CBB" w:rsidRDefault="00C50EC6" w:rsidP="00473351">
            <w:pPr>
              <w:tabs>
                <w:tab w:val="left" w:pos="2400"/>
              </w:tabs>
              <w:rPr>
                <w:rFonts w:ascii="Cambria" w:hAnsi="Cambria" w:cs="Times New Roman"/>
                <w:sz w:val="20"/>
                <w:szCs w:val="20"/>
              </w:rPr>
            </w:pPr>
            <w:r>
              <w:rPr>
                <w:rFonts w:ascii="Cambria" w:hAnsi="Cambria" w:cstheme="minorHAnsi"/>
                <w:sz w:val="20"/>
                <w:szCs w:val="20"/>
              </w:rPr>
              <w:t>Akademik Danışman</w:t>
            </w:r>
          </w:p>
        </w:tc>
      </w:tr>
      <w:tr w:rsidR="00176CEC" w:rsidRPr="009F1CBB" w:rsidTr="00093CCA">
        <w:trPr>
          <w:trHeight w:hRule="exact" w:val="255"/>
        </w:trPr>
        <w:tc>
          <w:tcPr>
            <w:tcW w:w="3258" w:type="dxa"/>
            <w:shd w:val="clear" w:color="auto" w:fill="F2F2F2" w:themeFill="background1" w:themeFillShade="F2"/>
          </w:tcPr>
          <w:p w:rsidR="00176CEC" w:rsidRPr="009F1CBB" w:rsidRDefault="00093CC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Görevin Bağlı Bulunduğu Unvan</w:t>
            </w:r>
          </w:p>
        </w:tc>
        <w:tc>
          <w:tcPr>
            <w:tcW w:w="6945" w:type="dxa"/>
          </w:tcPr>
          <w:p w:rsidR="003A319F" w:rsidRPr="009F1CBB" w:rsidRDefault="003A319F" w:rsidP="002738BA">
            <w:pPr>
              <w:tabs>
                <w:tab w:val="left" w:pos="2400"/>
              </w:tabs>
              <w:rPr>
                <w:rFonts w:ascii="Cambria" w:hAnsi="Cambria" w:cs="Times New Roman"/>
                <w:sz w:val="20"/>
                <w:szCs w:val="20"/>
              </w:rPr>
            </w:pPr>
          </w:p>
        </w:tc>
      </w:tr>
      <w:tr w:rsidR="00D3516A" w:rsidRPr="009F1CBB" w:rsidTr="00093CCA">
        <w:trPr>
          <w:trHeight w:hRule="exact" w:val="255"/>
        </w:trPr>
        <w:tc>
          <w:tcPr>
            <w:tcW w:w="3258" w:type="dxa"/>
            <w:shd w:val="clear" w:color="auto" w:fill="F2F2F2" w:themeFill="background1" w:themeFillShade="F2"/>
          </w:tcPr>
          <w:p w:rsidR="00D3516A" w:rsidRPr="009F1CBB" w:rsidRDefault="00D3516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Göreve Bağlı Unvanlar</w:t>
            </w:r>
          </w:p>
        </w:tc>
        <w:tc>
          <w:tcPr>
            <w:tcW w:w="6945" w:type="dxa"/>
          </w:tcPr>
          <w:p w:rsidR="00D3516A" w:rsidRPr="009F1CBB"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73351">
        <w:trPr>
          <w:trHeight w:val="427"/>
        </w:trPr>
        <w:tc>
          <w:tcPr>
            <w:tcW w:w="10203" w:type="dxa"/>
            <w:shd w:val="clear" w:color="auto" w:fill="auto"/>
          </w:tcPr>
          <w:p w:rsidR="00FE4D19" w:rsidRPr="00C50EC6" w:rsidRDefault="00C50EC6" w:rsidP="00C50EC6">
            <w:pPr>
              <w:spacing w:after="0"/>
              <w:jc w:val="both"/>
              <w:rPr>
                <w:rFonts w:ascii="Cambria" w:hAnsi="Cambria"/>
                <w:sz w:val="20"/>
                <w:szCs w:val="20"/>
              </w:rPr>
            </w:pPr>
            <w:r w:rsidRPr="00C50EC6">
              <w:rPr>
                <w:rFonts w:ascii="Cambria" w:hAnsi="Cambria"/>
                <w:sz w:val="20"/>
                <w:szCs w:val="20"/>
              </w:rPr>
              <w:t>Öğrenci akademik danışmanı, öğrencinin üniversiteye kayıt yaptırmasından öğrenciliği sona erinceye kadar geçen süre içinde, ders kaydı, kayıt yenileme, eğitim–öğretim çalışmaları, öğrencinin yükseköğretimdeki sorunları ve mezuniyet işlemlerinde yardımcı olmak üzere ilgili fakülte/yüksekokul öğretim elemanları arasından, bölüm/program başkanının önerisi üzerine dekan/müdür tarafından görevlendirilir.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2937C2">
        <w:trPr>
          <w:trHeight w:val="1111"/>
        </w:trPr>
        <w:tc>
          <w:tcPr>
            <w:tcW w:w="10203" w:type="dxa"/>
            <w:shd w:val="clear" w:color="auto" w:fill="auto"/>
          </w:tcPr>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Akademik takvimde belirlenen süre içerisinde, danışmanı olduğu öğrencilerin yönetmelikte öngörülen esaslar dâhilinde, ders kayıtlarını/kayıt yenilemelerini yapmalarını sağlamak,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Yükseköğretim programın ders müfredatında yapılan değişikliklerin intibak kararlarını uygulamak; değiştirilen müfredata uygun olarak öğrencilerin ders kayıtlarını/kayıt yenilemelerini yapmalarını sağlamak,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Öğrenci katkı payı ve öğrenim ücreti konusunda mevzuat hükümlerini takip etmek, muafiyet ve istisnalar konusunda öğrencileri bilgilendirmek; öğrenci katkı payı ve öğrenim ücretini yatırmayan öğrencilerin ders kayıtlarını ve kayıt yenileme işlemlerini hiçbir şekilde yapmamak</w:t>
            </w:r>
            <w:r>
              <w:rPr>
                <w:rFonts w:ascii="Cambria" w:hAnsi="Cambria"/>
                <w:sz w:val="20"/>
                <w:szCs w:val="20"/>
              </w:rPr>
              <w:t>,</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Danışmanı olduğu öğrencilerin akademik durumlarını izlemek; dönem/yıl kaybına uğramamaları amacıyla öğrencileri bilgilendirmek ve yönlendirmek,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Öğretim planında yapılması öngörülen stajlar konusunda öğrencileri bilgilendirmek ve gerektiğinde staj amirleriyle işbirliği yapmak,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Danışmanı bulunduğu öğrencilerden başarılı, maddi desteğe gereksinimi olan öğrencileri tespit ederek, bunları dekanlığa/müdürlüğe bildirmek,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Üniversite ya da diğer kurum ve kuruluşlar tarafından öğrencilere verilen burs, kredi, beslenme yardımları ve yarım gün çalışma imkânları vb. konularda öğrencileri bilgilendirmek,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Üniversitemiz birimlerince düzenlenen bilimsel, sosyal, kültürel ve sportif etkinlikler konusunda öğrencilerin bilgilendirilmesini sağlamak ve etkinliklere katılımlarını teşvik etmek,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Danışmanı olduğu öğrencilere sağlık, beslenme, barınma konusunda rehberlik etmek,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Üniversiteye yeni kayıt olan öğrencilerin çevreye uyumları konusunda yardımcı olmak; sosyal, psikolojik sorunlarıyla ilgilenmek, gerektiğinde uzman kişilere yönlendirmek,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Üniversitede uygulanmakta olan kanun, yönetmelik, yönerge, uygulama ilkeleri ve ilgili diğer mevzuat ile bunlara ilişkin değişiklikler hakkında öğrencileri bilgilendirmek; öğrencilerin görev, hak ve sorumlulukları konusunda bilinçlenmelerine yardımcı olmak</w:t>
            </w:r>
            <w:r>
              <w:rPr>
                <w:rFonts w:ascii="Cambria" w:hAnsi="Cambria"/>
                <w:sz w:val="20"/>
                <w:szCs w:val="20"/>
              </w:rPr>
              <w:t>,</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Mezuniyet aşamasına gelen öğrencinin müfredatında yer alan tüm derslerden başarılı durumda olduğunu; akademik yönden mezuniyetine bir engel olmadığını tespit etmek ve düzenleyeceği öğrenci ilişik kesme belgesini onaylayarak dekanlığa/müdürlüğe sunulmak üzere bölüm başkanlığının onayına sunmak,</w:t>
            </w:r>
          </w:p>
          <w:p w:rsidR="00C50EC6" w:rsidRPr="00C50EC6"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Amirlerince verilecek diğer görevleri yerine getirmek</w:t>
            </w:r>
            <w:r w:rsidRPr="00C50EC6">
              <w:rPr>
                <w:rFonts w:ascii="Cambria" w:hAnsi="Cambria"/>
                <w:sz w:val="20"/>
                <w:szCs w:val="20"/>
              </w:rPr>
              <w:t>,</w:t>
            </w:r>
          </w:p>
          <w:p w:rsidR="002937C2" w:rsidRPr="009F1CBB" w:rsidRDefault="00C50EC6" w:rsidP="00C50EC6">
            <w:pPr>
              <w:pStyle w:val="ListeParagraf"/>
              <w:numPr>
                <w:ilvl w:val="0"/>
                <w:numId w:val="1"/>
              </w:numPr>
              <w:spacing w:after="0"/>
              <w:ind w:left="357" w:hanging="357"/>
              <w:jc w:val="both"/>
              <w:rPr>
                <w:rFonts w:ascii="Cambria" w:hAnsi="Cambria" w:cstheme="minorHAnsi"/>
                <w:sz w:val="20"/>
                <w:szCs w:val="20"/>
              </w:rPr>
            </w:pPr>
            <w:r w:rsidRPr="00C50EC6">
              <w:rPr>
                <w:rFonts w:ascii="Cambria" w:hAnsi="Cambria"/>
                <w:sz w:val="20"/>
                <w:szCs w:val="20"/>
              </w:rPr>
              <w:t>Yükseköğretim programının her sınıfı için görevlendirilen danışmanlar görevlerinin yürütülmesinde dekana/müdüre karşı sorumludur</w:t>
            </w:r>
            <w:r w:rsidRPr="00C50EC6">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47335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473351">
              <w:rPr>
                <w:rFonts w:ascii="Cambria" w:hAnsi="Cambria" w:cs="Times New Roman"/>
                <w:sz w:val="20"/>
                <w:szCs w:val="20"/>
              </w:rPr>
              <w:t>kleştirme yetkisine sahip olmak,</w:t>
            </w:r>
          </w:p>
          <w:p w:rsidR="00473351" w:rsidRPr="002937C2" w:rsidRDefault="00C4384F" w:rsidP="002937C2">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w:t>
            </w:r>
            <w:r w:rsidR="002937C2">
              <w:rPr>
                <w:rFonts w:ascii="Cambria" w:hAnsi="Cambria" w:cs="Times New Roman"/>
                <w:sz w:val="20"/>
                <w:szCs w:val="20"/>
              </w:rPr>
              <w:t>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657 Sayılı Devlet Memurları Kanunu’nda ve 2547 Sayılı Yüksek Öğretim Kanunu’nda belirtilen genel niteliklere sahip olmak,</w:t>
            </w:r>
          </w:p>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Görevinin gerektirdiği düzeyde iş deneyimine sahip olmak,</w:t>
            </w:r>
          </w:p>
          <w:p w:rsidR="00221F13" w:rsidRPr="000C54E5" w:rsidRDefault="000C54E5" w:rsidP="00473351">
            <w:pPr>
              <w:pStyle w:val="ListeParagraf"/>
              <w:numPr>
                <w:ilvl w:val="0"/>
                <w:numId w:val="2"/>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bookmarkStart w:id="0" w:name="_GoBack"/>
            <w:bookmarkEnd w:id="0"/>
            <w:r w:rsidRPr="000C54E5">
              <w:rPr>
                <w:rFonts w:ascii="Cambria" w:hAnsi="Cambria"/>
                <w:color w:val="1A1A1A"/>
                <w:sz w:val="20"/>
                <w:szCs w:val="20"/>
              </w:rPr>
              <w:t>Faaliyetlerini en iyi şekilde sürdürebilmesi için gerekli karar verme ve sorun çözme niteliklerine sahip olmak</w:t>
            </w:r>
            <w:r w:rsidR="0047335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C54E5" w:rsidRPr="00237669" w:rsidTr="001366DD">
        <w:trPr>
          <w:trHeight w:hRule="exact" w:val="255"/>
        </w:trPr>
        <w:tc>
          <w:tcPr>
            <w:tcW w:w="10203" w:type="dxa"/>
            <w:shd w:val="clear" w:color="auto" w:fill="F2F2F2" w:themeFill="background1" w:themeFillShade="F2"/>
          </w:tcPr>
          <w:p w:rsidR="000C54E5" w:rsidRPr="00237669" w:rsidRDefault="000C54E5" w:rsidP="001366DD">
            <w:pPr>
              <w:tabs>
                <w:tab w:val="left" w:pos="2400"/>
              </w:tabs>
              <w:jc w:val="center"/>
              <w:rPr>
                <w:rFonts w:ascii="Cambria" w:hAnsi="Cambria" w:cs="Times New Roman"/>
              </w:rPr>
            </w:pPr>
            <w:r>
              <w:rPr>
                <w:rFonts w:ascii="Cambria" w:hAnsi="Cambria" w:cs="Times New Roman"/>
                <w:b/>
                <w:color w:val="79133E"/>
              </w:rPr>
              <w:lastRenderedPageBreak/>
              <w:t>Yasal Dayanaklar</w:t>
            </w:r>
          </w:p>
        </w:tc>
      </w:tr>
      <w:tr w:rsidR="000C54E5" w:rsidRPr="00B87134" w:rsidTr="001366DD">
        <w:trPr>
          <w:trHeight w:val="557"/>
        </w:trPr>
        <w:tc>
          <w:tcPr>
            <w:tcW w:w="10203" w:type="dxa"/>
            <w:shd w:val="clear" w:color="auto" w:fill="auto"/>
          </w:tcPr>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t>2547 Sayılı YÖK Kanunu,</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t xml:space="preserve">Üniversitelerde Akademik </w:t>
            </w:r>
            <w:r w:rsidR="00473351">
              <w:rPr>
                <w:rFonts w:ascii="Cambria" w:hAnsi="Cambria" w:cs="Times New Roman"/>
                <w:sz w:val="20"/>
                <w:szCs w:val="20"/>
              </w:rPr>
              <w:t>Teşkilât Yönetmeliği</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0C54E5">
              <w:rPr>
                <w:rFonts w:ascii="Cambria" w:hAnsi="Cambria" w:cs="Times New Roman"/>
                <w:sz w:val="20"/>
                <w:szCs w:val="20"/>
              </w:rPr>
              <w:t>657</w:t>
            </w:r>
            <w:r w:rsidR="00473351">
              <w:rPr>
                <w:rFonts w:ascii="Cambria" w:hAnsi="Cambria" w:cs="Times New Roman"/>
                <w:sz w:val="20"/>
                <w:szCs w:val="20"/>
              </w:rPr>
              <w:t xml:space="preserve"> Sayılı Devlet Memurları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E5" w:rsidRDefault="00C121E5">
      <w:pPr>
        <w:spacing w:after="0" w:line="240" w:lineRule="auto"/>
      </w:pPr>
      <w:r>
        <w:separator/>
      </w:r>
    </w:p>
  </w:endnote>
  <w:endnote w:type="continuationSeparator" w:id="0">
    <w:p w:rsidR="00C121E5" w:rsidRDefault="00C1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50EC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50EC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E5" w:rsidRDefault="00C121E5">
      <w:pPr>
        <w:spacing w:after="0" w:line="240" w:lineRule="auto"/>
      </w:pPr>
      <w:r>
        <w:separator/>
      </w:r>
    </w:p>
  </w:footnote>
  <w:footnote w:type="continuationSeparator" w:id="0">
    <w:p w:rsidR="00C121E5" w:rsidRDefault="00C12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C121E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65045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D29D1"/>
    <w:multiLevelType w:val="hybridMultilevel"/>
    <w:tmpl w:val="F182C178"/>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49616421"/>
    <w:multiLevelType w:val="hybridMultilevel"/>
    <w:tmpl w:val="0206FD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0750D69"/>
    <w:multiLevelType w:val="hybridMultilevel"/>
    <w:tmpl w:val="D382C1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lvlOverride w:ilvl="0">
      <w:startOverride w:val="1"/>
    </w:lvlOverride>
  </w:num>
  <w:num w:numId="5">
    <w:abstractNumId w:val="5"/>
  </w:num>
  <w:num w:numId="6">
    <w:abstractNumId w:val="4"/>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45BC1"/>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C54E5"/>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7C2"/>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26C"/>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06F08"/>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3351"/>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19C"/>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6ADC"/>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1CBB"/>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5C6A"/>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7A6"/>
    <w:rsid w:val="00C118DE"/>
    <w:rsid w:val="00C121E5"/>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0EC6"/>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51E"/>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7</cp:revision>
  <cp:lastPrinted>2021-06-19T08:40:00Z</cp:lastPrinted>
  <dcterms:created xsi:type="dcterms:W3CDTF">2021-11-13T21:27:00Z</dcterms:created>
  <dcterms:modified xsi:type="dcterms:W3CDTF">2021-11-17T07:35:00Z</dcterms:modified>
</cp:coreProperties>
</file>